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7E" w:rsidRPr="00B66C7E" w:rsidRDefault="00B66C7E" w:rsidP="00B66C7E">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B66C7E">
        <w:rPr>
          <w:rFonts w:ascii="微软雅黑" w:eastAsia="微软雅黑" w:hAnsi="微软雅黑" w:cs="宋体" w:hint="eastAsia"/>
          <w:b/>
          <w:bCs/>
          <w:color w:val="000000"/>
          <w:kern w:val="36"/>
          <w:sz w:val="30"/>
          <w:szCs w:val="30"/>
        </w:rPr>
        <w:t>科技部 财政部关于进一步优化国家重点研发计划项目和资金管理的通知</w:t>
      </w:r>
    </w:p>
    <w:p w:rsidR="00B66C7E" w:rsidRPr="00B66C7E" w:rsidRDefault="00B66C7E" w:rsidP="00B66C7E">
      <w:pPr>
        <w:widowControl/>
        <w:adjustRightInd w:val="0"/>
        <w:snapToGrid w:val="0"/>
        <w:spacing w:beforeLines="100" w:afterLines="100" w:line="360" w:lineRule="auto"/>
        <w:jc w:val="center"/>
        <w:rPr>
          <w:rFonts w:ascii="微软雅黑" w:eastAsia="微软雅黑" w:hAnsi="微软雅黑" w:hint="eastAsia"/>
          <w:color w:val="000000"/>
          <w:kern w:val="0"/>
          <w:sz w:val="20"/>
          <w:szCs w:val="20"/>
          <w:shd w:val="clear" w:color="auto" w:fill="FFFFFF"/>
        </w:rPr>
      </w:pPr>
      <w:r w:rsidRPr="00B66C7E">
        <w:rPr>
          <w:rFonts w:ascii="微软雅黑" w:eastAsia="微软雅黑" w:hAnsi="微软雅黑" w:hint="eastAsia"/>
          <w:color w:val="000000"/>
          <w:kern w:val="0"/>
          <w:sz w:val="20"/>
          <w:szCs w:val="20"/>
          <w:shd w:val="clear" w:color="auto" w:fill="FFFFFF"/>
        </w:rPr>
        <w:t>国科发资〔2019〕45号</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各有关单位：</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为贯彻落实习近平总书记在两院院士大会上的重要讲话精神和《国务院关于优化科研管理提升科研绩效若干措施的通知》（国发〔2018〕25号）、《中共中央办公厅、国务院办公厅关于进一步加强科研诚信建设的若干意见》《国务院办公厅关于抓好赋予科研机构和人员更大自主权有关文件贯彻落实工作的通知》（国办发〔2018〕127号）的要求，充分激发科研人员创新活力，切实减轻科研人员负担，现就国家重点研发计划组织实施有关问题补充通知如下。</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1. 整合精简各类报表。系统梳理项目申报、立项、过程管理和综合绩效评价等环节，优化管理流程，整合项目申报书、任务书、年度报告、中期报告、综合绩效自评价报告等材料中的各类报表，按照减量不减质、满足管理基本需求的原则，将现有项目层面填报的表格，整合精简为6张；课题层面填报的表格，整合精简为8张，实现“一表多用、一表多能”。</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2. 减少信息填报和材料报送。从项目申报到综合绩效评价各环节，全面推行信息化方式，通过国家科技管理信息系统填报材料。杜绝科研单位基本信息、科研人员基本信息、项目目标和考核指标等各类信息的重复填报，减少联合申报协议、诚信承诺书等材料的重复报送，实现项目全周期“信息一次填报、材料一次报送”。</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合并年度报告和预算执行报告，不再单独编报年度财务决算报告；减少纸质材料报送，一般情况下，项目牵头单位报送的纸质材料（除任务书外）不超过2套。除共性要求外，项目管理专业机构不得额外增加半年报、季报等材料和表格报送，切实减轻科研人员负担。</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lastRenderedPageBreak/>
        <w:t>3. 精简过程检查。按照任务书约定，在关键节点开展里程碑式管理；实施周期三年以下的项目，一般不开展过程检查。项目管理专业机构提前制定年度检查工作方案，相对集中时间开展检查，避免在同一年度对同一项目重复检查、多头检查。同时，注重年度报告等已有信息的分析运用，尽量让科研人员少填报信息。</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4. 赋予科研人员更大技术路线决策权。科研项目申报期间，以科研人员提出的技术路线为主进行论证；科研项目实施期间，科研人员可以在研究方向不变、不降低考核指标的前提下自主调整研究方案和技术路线，由项目牵头单位报项目管理专业机构备案。</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科研项目负责人可以根据项目需要，在申报期间按规定自主组建科研团队；结合项目进展情况，在实施期间按规定进行相应调整，并在遵守科研人员限项规定及符合诚信要求的前提下自主调整项目骨干、一般参与人员，由项目牵头单位报项目管理专业机构备案。</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5. 简化预算编制要求。根据科研活动规律和特点，进一步完善预算编制。简化预算测算说明和编报表格，除设备费外，其他开支科目无需单独填列明细表格。会议费/差旅费/国际合作交流费预算不超过直接费用10%的，无需提供预算测算依据；超过10%的，按照会议、差旅、国际合作交流分类提供必要的测算依据，无需对每次会议、差旅做单独的测算和说明。对于纳入“绿色通道”改革试点单位的科研项目预算编制要求，按照改革试点相关规定执行。</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6. 扩大承担单位预算调剂权限。直接费用中设备费预算总额一般不予调增，确需调增的应报项目管理专业机构审批；设备费预算总额调减、设备费内部预算结构调整、拟购置设备的明细发生变化，以及其他科目的预算调剂权下放给承担单位。直接费用实行分类总额控制，其中，材料费、测试化验加工费、燃料动力费、出版/文献/信息传播/知识产权事务费等四个科目在实施中按一类管理；劳务费、专家咨询费、会议费/差旅费/国际合作交流费、其他支出等四个科目在实施中按一类管理。两类之间的预算调剂应履行承担单位内部审批程序；同一类预算额度内，承担单位可结合实际情况进行审批或授权课题负责人自行调剂使用；承担单位应按照国家有关规定</w:t>
      </w:r>
      <w:r w:rsidRPr="00B66C7E">
        <w:rPr>
          <w:rFonts w:ascii="微软雅黑" w:eastAsia="微软雅黑" w:hAnsi="微软雅黑" w:hint="eastAsia"/>
          <w:color w:val="000000"/>
          <w:sz w:val="20"/>
          <w:szCs w:val="20"/>
        </w:rPr>
        <w:lastRenderedPageBreak/>
        <w:t>完善管理制度，及时为科研人员办理预算调剂手续；相关管理制度由单位主管部门报项目管理部门备案。</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7. 规范结题财务审计。项目实施期满后，课题承担单位应当及时清理账目与资产，严格按照《中央财政科技计划项目（课题）结题审计指引》及相关规范组织实施结题审计工作，并做好与项目综合绩效评价工作的衔接。</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8. 实施一次性项目综合绩效评价。不再单独组织技术验收、财务验收，合并有关验收程序，实施一次性综合绩效评价。项目实施期满，项目管理专业机构应当根据有关要求，严格按照任务书的约定，考核项目任务完成情况和项目资金管理使用情况，组织开展综合绩效评价，重视相关项目间的协同和项目对重点专项目标实现的支撑作用。结余经费的认定、留用与收回等按照综合绩效评价相关要求执行。</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9. 突出代表性成果和项目实施效果评价。按照分类评价的要求，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技术和产品开发类项目重点评价新技术、新方法、新产品、关键部件等的创新性、成熟度、稳定性、可靠性，突出成果转化应用情况及其在解决经济社会发展关键问题、支撑引领行业产业高质量发展中发挥的作用；应用示范类项目绩效评价以规模化应用、行业内推广为导向，重点评价集成性、先进性、经济适用性、辐射带动作用及产生的经济社会效益。对提交评价的论文、专利等作出数量限制规定，不将“头衔”“帽子”“论文数量”“获得奖励”等作为评价指标。</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10. 加强科学伦理审查和监管。有关承担单位和科研人员须恪守科学道德，遵守有关法律法规和伦理准则。相关单位建立资质合格的伦理审查委员会，须对相关科研活动加强审查和监管；相关科研人员应自觉接受伦理审查和监管。</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lastRenderedPageBreak/>
        <w:t>11. 强化承担单位和项目管理专业机构责任。承担单位应发挥科研项目和资金管理主体责任，结合单位实际，修订完善内部科研项目和资金管理制度，严格按照任务书的承诺，做好组织实施和支撑服务；中央高校、科研院所要根据科研工作的特点，对科研需要的出差和会议按标准报销相关费用，进一步简化优化报销管理，建立起科学合理、便捷高效的报销管理机制；加强单位内部的政策宣传与培训，强化科研人员的责任和诚信意识，对违背承诺与诚信要求的，加强责任追究，对严重失信行为实行联合惩戒。项目管理专业机构要深入落实下放科技管理权限工作，及时向项目承担单位拨付资金，不得额外增加承担单位的负担。承担单位及项目管理专业机构要根据《财政部关于进一步完善中央财政科技和教育资金预算执行管理有关事宜的通知》（财库〔2018〕96号）等要求，做好资金支付管理、公务卡管理、科研仪器设备采购管理等相关工作。</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12. 做好项目政策衔接。对于执行周期结束且已开展结题验收的项目，继续按照原政策执行；项目执行周期结束但尚未开展结题验收以及仍在执行中的项目，参照本通知执行。</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本通知自发布之日起施行，《国家重点研发计划管理暂行办法》（国科发资〔2017〕152号）、《国家重点研发计划资金管理办法》（财科教〔2016〕113号）和改革前计划有关管理办法等相关规定与本通知要求不一致的，以本通知为准。</w:t>
      </w:r>
    </w:p>
    <w:p w:rsidR="00B66C7E" w:rsidRPr="00B66C7E" w:rsidRDefault="00B66C7E" w:rsidP="00B66C7E">
      <w:pPr>
        <w:pStyle w:val="a3"/>
        <w:shd w:val="clear" w:color="auto" w:fill="FFFFFF"/>
        <w:spacing w:before="0" w:beforeAutospacing="0" w:after="0" w:afterAutospacing="0" w:line="360" w:lineRule="auto"/>
        <w:ind w:firstLineChars="200" w:firstLine="400"/>
        <w:jc w:val="both"/>
        <w:rPr>
          <w:rFonts w:ascii="微软雅黑" w:eastAsia="微软雅黑" w:hAnsi="微软雅黑"/>
          <w:color w:val="000000"/>
          <w:sz w:val="20"/>
          <w:szCs w:val="20"/>
        </w:rPr>
      </w:pPr>
      <w:r w:rsidRPr="00B66C7E">
        <w:rPr>
          <w:rFonts w:ascii="微软雅黑" w:eastAsia="微软雅黑" w:hAnsi="微软雅黑"/>
          <w:color w:val="000000"/>
          <w:sz w:val="20"/>
          <w:szCs w:val="20"/>
        </w:rPr>
        <w:t xml:space="preserve"> </w:t>
      </w:r>
    </w:p>
    <w:p w:rsidR="00B66C7E" w:rsidRPr="00B66C7E" w:rsidRDefault="00B66C7E" w:rsidP="00B66C7E">
      <w:pPr>
        <w:pStyle w:val="a3"/>
        <w:shd w:val="clear" w:color="auto" w:fill="FFFFFF"/>
        <w:spacing w:before="0" w:beforeAutospacing="0" w:after="0" w:afterAutospacing="0" w:line="360" w:lineRule="auto"/>
        <w:ind w:firstLineChars="200" w:firstLine="400"/>
        <w:jc w:val="right"/>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 xml:space="preserve">科 技 部　　　财 政 部　　</w:t>
      </w:r>
    </w:p>
    <w:p w:rsidR="00B66C7E" w:rsidRPr="00B66C7E" w:rsidRDefault="00B66C7E" w:rsidP="00B66C7E">
      <w:pPr>
        <w:pStyle w:val="a3"/>
        <w:shd w:val="clear" w:color="auto" w:fill="FFFFFF"/>
        <w:spacing w:before="0" w:beforeAutospacing="0" w:after="0" w:afterAutospacing="0" w:line="360" w:lineRule="auto"/>
        <w:ind w:firstLineChars="200" w:firstLine="400"/>
        <w:jc w:val="right"/>
        <w:rPr>
          <w:rFonts w:ascii="微软雅黑" w:eastAsia="微软雅黑" w:hAnsi="微软雅黑" w:hint="eastAsia"/>
          <w:color w:val="000000"/>
          <w:sz w:val="20"/>
          <w:szCs w:val="20"/>
        </w:rPr>
      </w:pPr>
      <w:r w:rsidRPr="00B66C7E">
        <w:rPr>
          <w:rFonts w:ascii="微软雅黑" w:eastAsia="微软雅黑" w:hAnsi="微软雅黑" w:hint="eastAsia"/>
          <w:color w:val="000000"/>
          <w:sz w:val="20"/>
          <w:szCs w:val="20"/>
        </w:rPr>
        <w:t>2019年1月22日</w:t>
      </w:r>
    </w:p>
    <w:p w:rsidR="00E304E8" w:rsidRPr="00B66C7E" w:rsidRDefault="00E304E8" w:rsidP="00B66C7E">
      <w:pPr>
        <w:pStyle w:val="a3"/>
        <w:shd w:val="clear" w:color="auto" w:fill="FFFFFF"/>
        <w:spacing w:before="150" w:beforeAutospacing="0" w:after="150" w:afterAutospacing="0" w:line="390" w:lineRule="atLeast"/>
        <w:jc w:val="both"/>
        <w:rPr>
          <w:rFonts w:ascii="微软雅黑" w:eastAsia="微软雅黑" w:hAnsi="微软雅黑"/>
          <w:color w:val="000000"/>
          <w:sz w:val="20"/>
          <w:szCs w:val="20"/>
        </w:rPr>
      </w:pPr>
    </w:p>
    <w:sectPr w:rsidR="00E304E8" w:rsidRPr="00B66C7E" w:rsidSect="00E304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6C7E"/>
    <w:rsid w:val="00B66C7E"/>
    <w:rsid w:val="00E30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C7E"/>
    <w:pPr>
      <w:widowControl/>
      <w:spacing w:before="100" w:beforeAutospacing="1" w:after="100" w:afterAutospacing="1" w:line="586" w:lineRule="atLeast"/>
      <w:jc w:val="left"/>
    </w:pPr>
    <w:rPr>
      <w:rFonts w:ascii="宋体" w:eastAsia="宋体" w:hAnsi="宋体" w:cs="宋体"/>
      <w:kern w:val="0"/>
      <w:sz w:val="24"/>
      <w:szCs w:val="24"/>
    </w:rPr>
  </w:style>
  <w:style w:type="character" w:styleId="a4">
    <w:name w:val="Strong"/>
    <w:basedOn w:val="a0"/>
    <w:uiPriority w:val="22"/>
    <w:qFormat/>
    <w:rsid w:val="00B66C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2019-03-26T00:32:00Z</dcterms:created>
  <dcterms:modified xsi:type="dcterms:W3CDTF">2019-03-26T00:34:00Z</dcterms:modified>
</cp:coreProperties>
</file>